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8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2"/>
        <w:gridCol w:w="1538"/>
        <w:gridCol w:w="1177"/>
        <w:gridCol w:w="1500"/>
        <w:gridCol w:w="37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8" w:hRule="atLeast"/>
        </w:trPr>
        <w:tc>
          <w:tcPr>
            <w:tcW w:w="8687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333333"/>
                <w:sz w:val="36"/>
                <w:szCs w:val="36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333333"/>
                <w:kern w:val="0"/>
                <w:sz w:val="36"/>
                <w:szCs w:val="36"/>
                <w:u w:val="none"/>
                <w:lang w:val="en-US" w:eastAsia="zh-CN" w:bidi="ar"/>
              </w:rPr>
              <w:t>各学科专业研究生排课教室分配情况一览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教室编号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座位数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教室类型</w:t>
            </w:r>
          </w:p>
        </w:tc>
        <w:tc>
          <w:tcPr>
            <w:tcW w:w="3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333333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333333"/>
                <w:sz w:val="28"/>
                <w:szCs w:val="28"/>
                <w:u w:val="none"/>
                <w:lang w:eastAsia="zh-CN"/>
              </w:rPr>
              <w:t>使用单位（学科专业）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C-301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多媒体教室</w:t>
            </w:r>
          </w:p>
        </w:tc>
        <w:tc>
          <w:tcPr>
            <w:tcW w:w="3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  <w:t>理论经济学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6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C-302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多媒体教室</w:t>
            </w:r>
          </w:p>
        </w:tc>
        <w:tc>
          <w:tcPr>
            <w:tcW w:w="3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  <w:t>应用经济学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6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C-303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多媒体教室</w:t>
            </w:r>
          </w:p>
        </w:tc>
        <w:tc>
          <w:tcPr>
            <w:tcW w:w="3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  <w:t>工商管理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C-304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多媒体教室</w:t>
            </w:r>
          </w:p>
        </w:tc>
        <w:tc>
          <w:tcPr>
            <w:tcW w:w="3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马克思主义理论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6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C-307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多媒体教室</w:t>
            </w:r>
          </w:p>
        </w:tc>
        <w:tc>
          <w:tcPr>
            <w:tcW w:w="3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中国语言文学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新闻与传播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C-308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多媒体教室</w:t>
            </w:r>
          </w:p>
        </w:tc>
        <w:tc>
          <w:tcPr>
            <w:tcW w:w="3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法学、18级法律（非法学）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C-309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多媒体教室</w:t>
            </w:r>
          </w:p>
        </w:tc>
        <w:tc>
          <w:tcPr>
            <w:tcW w:w="3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管理科学与工程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C-310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多媒体教室</w:t>
            </w:r>
          </w:p>
        </w:tc>
        <w:tc>
          <w:tcPr>
            <w:tcW w:w="3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  <w:t>设计学、审计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6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岭南</w:t>
            </w: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文化课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教室104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多媒体教室</w:t>
            </w:r>
          </w:p>
        </w:tc>
        <w:tc>
          <w:tcPr>
            <w:tcW w:w="3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 w:eastAsia="zh-CN"/>
              </w:rPr>
              <w:t>19级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  <w:t>法律（法学）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 w:eastAsia="zh-CN"/>
              </w:rPr>
              <w:t>19级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  <w:t>法律（非法学）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  <w:t>各学院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  <w:t>跨学科开设的综合课程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/>
              </w:rPr>
              <w:t>F305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 w:eastAsia="zh-CN"/>
              </w:rPr>
              <w:t>140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多媒体教室</w:t>
            </w:r>
          </w:p>
        </w:tc>
        <w:tc>
          <w:tcPr>
            <w:tcW w:w="3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  <w:t>全校公共课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  <w:t>会计与审计硕士合班课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7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/>
              </w:rPr>
              <w:t>F301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 w:eastAsia="zh-CN"/>
              </w:rPr>
              <w:t>90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多媒体教室</w:t>
            </w:r>
          </w:p>
        </w:tc>
        <w:tc>
          <w:tcPr>
            <w:tcW w:w="37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  <w:t>会计硕士专业课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 w:eastAsia="zh-CN"/>
              </w:rPr>
              <w:t>18级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  <w:t>法律（法学）与法律（非法学）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  <w:t>合班课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/>
              </w:rPr>
              <w:t>E302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 w:eastAsia="zh-CN"/>
              </w:rPr>
              <w:t>0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多媒体教室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国际商务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金融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6" w:hRule="atLeast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/>
              </w:rPr>
              <w:t>E303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val="en-US" w:eastAsia="zh-CN"/>
              </w:rPr>
              <w:t>0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多媒体教室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  <w:t>应用统计专业课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333333"/>
                <w:sz w:val="24"/>
                <w:szCs w:val="24"/>
                <w:u w:val="none"/>
                <w:lang w:eastAsia="zh-CN"/>
              </w:rPr>
              <w:t>工程（计算机技术）专业课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DB7C4D"/>
    <w:rsid w:val="05DB7C4D"/>
    <w:rsid w:val="14A81674"/>
    <w:rsid w:val="17E91426"/>
    <w:rsid w:val="2E491E71"/>
    <w:rsid w:val="326C579C"/>
    <w:rsid w:val="49EA1E7F"/>
    <w:rsid w:val="5DF01FA0"/>
    <w:rsid w:val="72142AE0"/>
    <w:rsid w:val="77E2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2019-05-21T03:56:00Z</dcterms:created>
  <dc:creator>jely</dc:creator>
  <cp:lastModifiedBy>jely</cp:lastModifiedBy>
  <dcterms:modified xsi:type="dcterms:W3CDTF">2019-05-23T02:50:04Z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